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67" w:rsidRPr="00052D0E" w:rsidRDefault="008A42CF">
      <w:r>
        <w:rPr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15pt;margin-top:103.7pt;width:567pt;height:29.65pt;z-index:251655168" filled="f" stroked="f">
            <v:textbox style="mso-next-textbox:#_x0000_s1027" inset="0,0,0,0">
              <w:txbxContent>
                <w:p w:rsidR="009C55D2" w:rsidRPr="008A42CF" w:rsidRDefault="00701E8E" w:rsidP="009C55D2">
                  <w:pPr>
                    <w:jc w:val="center"/>
                    <w:rPr>
                      <w:color w:val="FFFFFF"/>
                      <w:lang w:val="sr-Latn-CS"/>
                    </w:rPr>
                  </w:pPr>
                  <w:r>
                    <w:rPr>
                      <w:color w:val="FFFFFF"/>
                      <w:lang w:val="sr-Cyrl-CS"/>
                    </w:rPr>
                    <w:t>Материјал за конференцију за штампу</w:t>
                  </w: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rect id="_x0000_s1026" style="position:absolute;margin-left:-1.65pt;margin-top:89.45pt;width:595.4pt;height:31.2pt;z-index:251654144" fillcolor="navy" stroked="f"/>
        </w:pict>
      </w:r>
      <w:r w:rsidR="009C55D2">
        <w:rPr>
          <w:szCs w:val="20"/>
          <w:lang w:val="en-US" w:eastAsia="en-US"/>
        </w:rPr>
        <w:pict>
          <v:shape id="_x0000_s1029" type="#_x0000_t202" style="position:absolute;margin-left:148.05pt;margin-top:677.05pt;width:36.65pt;height:25.35pt;z-index:251657216;mso-wrap-style:none" filled="f" stroked="f">
            <v:textbox style="mso-next-textbox:#_x0000_s1029;mso-fit-shape-to-text:t" inset="0,0,0,0">
              <w:txbxContent>
                <w:p w:rsidR="009C55D2" w:rsidRDefault="009C4A9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66725" cy="2857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55D2">
        <w:rPr>
          <w:szCs w:val="20"/>
          <w:lang w:val="en-US" w:eastAsia="en-US"/>
        </w:rPr>
        <w:pict>
          <v:shape id="_x0000_s1030" type="#_x0000_t202" style="position:absolute;margin-left:49.05pt;margin-top:675.2pt;width:35.35pt;height:27.35pt;z-index:251658240" filled="f" stroked="f">
            <v:textbox style="mso-next-textbox:#_x0000_s1030" inset="0,0,0,0">
              <w:txbxContent>
                <w:p w:rsidR="009C55D2" w:rsidRDefault="009C4A9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90525" cy="35242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47675" cy="342900"/>
                        <wp:effectExtent l="19050" t="0" r="9525" b="0"/>
                        <wp:docPr id="4" name="Picture 4" descr="logo_contracto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contracto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55D2">
        <w:rPr>
          <w:szCs w:val="20"/>
          <w:lang w:val="en-US" w:eastAsia="en-US"/>
        </w:rPr>
        <w:pict>
          <v:line id="_x0000_s1034" style="position:absolute;z-index:251661312" from="51.05pt,711.2pt" to="544.3pt,711.2pt" strokeweight="1pt"/>
        </w:pict>
      </w:r>
      <w:r w:rsidR="009C4A96">
        <w:rPr>
          <w:noProof/>
          <w:lang w:eastAsia="en-US"/>
        </w:rPr>
        <w:drawing>
          <wp:inline distT="0" distB="0" distL="0" distR="0">
            <wp:extent cx="75914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7" w:rsidRPr="000F0167" w:rsidRDefault="000F0167" w:rsidP="000F0167"/>
    <w:p w:rsidR="000F0167" w:rsidRPr="000F0167" w:rsidRDefault="000F0167" w:rsidP="000F0167"/>
    <w:p w:rsidR="000F0167" w:rsidRPr="000F0167" w:rsidRDefault="000F0167" w:rsidP="000F0167"/>
    <w:p w:rsidR="000F0167" w:rsidRPr="000F0167" w:rsidRDefault="00BE17A2" w:rsidP="000F0167">
      <w:r>
        <w:rPr>
          <w:szCs w:val="20"/>
          <w:lang w:val="en-US" w:eastAsia="en-US"/>
        </w:rPr>
        <w:pict>
          <v:shape id="_x0000_s1028" type="#_x0000_t202" style="position:absolute;margin-left:40.05pt;margin-top:4.55pt;width:540pt;height:526.5pt;z-index:251656192" filled="f" stroked="f">
            <v:textbox style="mso-next-textbox:#_x0000_s1028" inset="0,0,0,0">
              <w:txbxContent>
                <w:p w:rsidR="00DE7DB8" w:rsidRDefault="00DE7DB8" w:rsidP="006A5632">
                  <w:pPr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  <w:p w:rsidR="00DE7DB8" w:rsidRPr="00701E8E" w:rsidRDefault="00DE7DB8" w:rsidP="006A5632">
                  <w:pPr>
                    <w:jc w:val="center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sr-Cyrl-CS"/>
                    </w:rPr>
                    <w:t>Београд</w:t>
                  </w:r>
                  <w:r w:rsidRPr="00701E8E">
                    <w:rPr>
                      <w:sz w:val="20"/>
                      <w:lang w:val="ru-RU"/>
                    </w:rPr>
                    <w:t xml:space="preserve">, 01. </w:t>
                  </w:r>
                  <w:r>
                    <w:rPr>
                      <w:sz w:val="20"/>
                      <w:lang w:val="sr-Cyrl-CS"/>
                    </w:rPr>
                    <w:t xml:space="preserve">септембар </w:t>
                  </w:r>
                  <w:r w:rsidRPr="00701E8E">
                    <w:rPr>
                      <w:sz w:val="20"/>
                      <w:lang w:val="ru-RU"/>
                    </w:rPr>
                    <w:t>2010</w:t>
                  </w:r>
                </w:p>
                <w:p w:rsidR="00DE7DB8" w:rsidRPr="00FC4434" w:rsidRDefault="00DE7DB8" w:rsidP="006A563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20"/>
                      <w:szCs w:val="23"/>
                      <w:lang w:val="fr-FR" w:bidi="fr-FR"/>
                    </w:rPr>
                  </w:pPr>
                </w:p>
                <w:p w:rsidR="00DE7DB8" w:rsidRDefault="00DE7DB8" w:rsidP="006A5632">
                  <w:pPr>
                    <w:ind w:right="-99"/>
                    <w:jc w:val="center"/>
                    <w:rPr>
                      <w:b/>
                      <w:lang w:val="sr-Latn-CS"/>
                    </w:rPr>
                  </w:pPr>
                </w:p>
                <w:p w:rsidR="00DE7DB8" w:rsidRPr="00E8664E" w:rsidRDefault="00DE7DB8" w:rsidP="006A5632">
                  <w:pPr>
                    <w:ind w:right="-99"/>
                    <w:jc w:val="center"/>
                    <w:rPr>
                      <w:b/>
                      <w:lang w:val="ru-RU"/>
                    </w:rPr>
                  </w:pPr>
                  <w:r w:rsidRPr="00E8664E">
                    <w:rPr>
                      <w:b/>
                      <w:lang w:val="sr-Cyrl-CS"/>
                    </w:rPr>
                    <w:t xml:space="preserve">Пројекат 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 w:rsidRPr="00E8664E">
                    <w:rPr>
                      <w:b/>
                      <w:i/>
                      <w:lang w:val="sr-Cyrl-CS"/>
                    </w:rPr>
                    <w:t>„Процена система националног друштвеног интегритета у Србији“</w:t>
                  </w:r>
                </w:p>
                <w:p w:rsidR="00DE7DB8" w:rsidRPr="00E8664E" w:rsidRDefault="00DE7DB8" w:rsidP="006A5632">
                  <w:pPr>
                    <w:ind w:right="-99"/>
                    <w:jc w:val="center"/>
                    <w:rPr>
                      <w:lang w:val="ru-RU"/>
                    </w:rPr>
                  </w:pPr>
                </w:p>
                <w:p w:rsidR="00DE7DB8" w:rsidRPr="00E8664E" w:rsidRDefault="00DE7DB8" w:rsidP="006A5632">
                  <w:pPr>
                    <w:ind w:right="-99"/>
                    <w:jc w:val="center"/>
                    <w:rPr>
                      <w:lang w:val="ru-RU"/>
                    </w:rPr>
                  </w:pPr>
                </w:p>
                <w:p w:rsidR="00DE7DB8" w:rsidRPr="002E4BE3" w:rsidRDefault="00DE7DB8" w:rsidP="006A5632">
                  <w:pPr>
                    <w:spacing w:line="360" w:lineRule="auto"/>
                    <w:jc w:val="center"/>
                    <w:rPr>
                      <w:sz w:val="22"/>
                      <w:lang w:val="sr-Cyrl-CS"/>
                    </w:rPr>
                  </w:pPr>
                  <w:r w:rsidRPr="007F20D5">
                    <w:rPr>
                      <w:sz w:val="22"/>
                      <w:lang w:val="sr-Cyrl-CS"/>
                    </w:rPr>
                    <w:t xml:space="preserve">Транспарентност - Србија започела је спровођење новог пројекта </w:t>
                  </w:r>
                  <w:r>
                    <w:rPr>
                      <w:i/>
                      <w:sz w:val="22"/>
                      <w:lang w:val="sr-Cyrl-CS"/>
                    </w:rPr>
                    <w:t>„Процена система националног друштвеног интегритета у Србији“</w:t>
                  </w:r>
                  <w:r w:rsidRPr="007F20D5">
                    <w:rPr>
                      <w:i/>
                      <w:sz w:val="22"/>
                      <w:lang w:val="sr-Cyrl-CS"/>
                    </w:rPr>
                    <w:t xml:space="preserve"> (National Integrity System</w:t>
                  </w:r>
                  <w:r w:rsidRPr="007F20D5">
                    <w:rPr>
                      <w:i/>
                      <w:sz w:val="22"/>
                      <w:lang w:val="sr-Latn-CS"/>
                    </w:rPr>
                    <w:t xml:space="preserve"> – NIS).</w:t>
                  </w:r>
                  <w:r w:rsidRPr="00701E8E">
                    <w:rPr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Пројекат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се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спроводи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уз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подршку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Делегације</w:t>
                  </w:r>
                  <w:r w:rsidRPr="00701E8E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Европске</w:t>
                  </w:r>
                  <w:r>
                    <w:rPr>
                      <w:i/>
                      <w:sz w:val="22"/>
                      <w:lang w:val="sr-Cyrl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уније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у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Републици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Србији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у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оквиру</w:t>
                  </w:r>
                  <w:r w:rsidRPr="00DE7DB8">
                    <w:rPr>
                      <w:sz w:val="22"/>
                      <w:lang w:val="sr-Latn-CS"/>
                    </w:rPr>
                    <w:t xml:space="preserve">  </w:t>
                  </w:r>
                  <w:r w:rsidRPr="008A42CF">
                    <w:rPr>
                      <w:sz w:val="22"/>
                      <w:lang w:val="ru-RU"/>
                    </w:rPr>
                    <w:t>пројекта</w:t>
                  </w:r>
                  <w:r w:rsidRPr="00DE7DB8">
                    <w:rPr>
                      <w:sz w:val="22"/>
                      <w:lang w:val="sr-Latn-CS"/>
                    </w:rPr>
                    <w:t xml:space="preserve"> „</w:t>
                  </w:r>
                  <w:r w:rsidRPr="008A42CF">
                    <w:rPr>
                      <w:sz w:val="22"/>
                      <w:lang w:val="ru-RU"/>
                    </w:rPr>
                    <w:t>Јачање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дијалога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између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организација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цивилног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друштва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Србије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и</w:t>
                  </w:r>
                  <w:r w:rsidRPr="00DE7DB8">
                    <w:rPr>
                      <w:sz w:val="22"/>
                      <w:lang w:val="sr-Latn-CS"/>
                    </w:rPr>
                    <w:t xml:space="preserve"> </w:t>
                  </w:r>
                  <w:r w:rsidRPr="008A42CF">
                    <w:rPr>
                      <w:sz w:val="22"/>
                      <w:lang w:val="ru-RU"/>
                    </w:rPr>
                    <w:t>ЕУ</w:t>
                  </w:r>
                  <w:r w:rsidRPr="00701E8E">
                    <w:rPr>
                      <w:sz w:val="22"/>
                      <w:lang w:val="sr-Latn-CS"/>
                    </w:rPr>
                    <w:t>“</w:t>
                  </w:r>
                  <w:r w:rsidR="002E4BE3">
                    <w:rPr>
                      <w:sz w:val="22"/>
                      <w:lang w:val="sr-Cyrl-CS"/>
                    </w:rPr>
                    <w:t xml:space="preserve">. </w:t>
                  </w:r>
                </w:p>
                <w:p w:rsidR="00DE7DB8" w:rsidRPr="00DE7DB8" w:rsidRDefault="00DE7DB8" w:rsidP="006A5632">
                  <w:pPr>
                    <w:spacing w:line="360" w:lineRule="auto"/>
                    <w:ind w:right="-99"/>
                    <w:jc w:val="center"/>
                    <w:rPr>
                      <w:i/>
                      <w:sz w:val="22"/>
                      <w:lang w:val="sr-Latn-CS"/>
                    </w:rPr>
                  </w:pPr>
                </w:p>
                <w:p w:rsidR="00DE7DB8" w:rsidRDefault="00DE7DB8" w:rsidP="002E4BE3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i/>
                      <w:sz w:val="22"/>
                      <w:lang w:val="sr-Cyrl-CS"/>
                    </w:rPr>
                    <w:t>Процена система националног друштвеног интегритета у Србији (</w:t>
                  </w:r>
                  <w:r w:rsidRPr="00E405C1">
                    <w:rPr>
                      <w:i/>
                      <w:sz w:val="22"/>
                      <w:lang w:val="sr-Latn-CS"/>
                    </w:rPr>
                    <w:t>NIS)</w:t>
                  </w:r>
                  <w:r w:rsidRPr="007F20D5">
                    <w:rPr>
                      <w:sz w:val="22"/>
                      <w:lang w:val="sr-Latn-CS"/>
                    </w:rPr>
                    <w:t xml:space="preserve"> </w:t>
                  </w:r>
                  <w:r>
                    <w:rPr>
                      <w:sz w:val="22"/>
                      <w:lang w:val="sr-Cyrl-CS"/>
                    </w:rPr>
                    <w:t xml:space="preserve"> </w:t>
                  </w:r>
                  <w:r w:rsidRPr="007F20D5">
                    <w:rPr>
                      <w:sz w:val="22"/>
                      <w:lang w:val="sr-Cyrl-CS"/>
                    </w:rPr>
                    <w:t xml:space="preserve">заснива се на методологији </w:t>
                  </w:r>
                  <w:r>
                    <w:rPr>
                      <w:sz w:val="22"/>
                      <w:lang w:val="sr-Cyrl-CS"/>
                    </w:rPr>
                    <w:t xml:space="preserve">коју је развила </w:t>
                  </w:r>
                  <w:r w:rsidRPr="00EF4C76">
                    <w:rPr>
                      <w:sz w:val="22"/>
                      <w:szCs w:val="22"/>
                      <w:lang w:val="sr-Latn-CS"/>
                    </w:rPr>
                    <w:t>Transparency International</w:t>
                  </w:r>
                  <w:r>
                    <w:rPr>
                      <w:sz w:val="22"/>
                      <w:szCs w:val="22"/>
                      <w:lang w:val="sr-Cyrl-CS"/>
                    </w:rPr>
                    <w:t>, која се стално унапређује и која је до сада примењена у преко 70 земаља.</w:t>
                  </w:r>
                  <w:r w:rsidR="002E4BE3">
                    <w:rPr>
                      <w:sz w:val="22"/>
                      <w:szCs w:val="22"/>
                      <w:lang w:val="sr-Cyrl-C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sr-Cyrl-CS"/>
                    </w:rPr>
                    <w:t>У оквиру овог истраживања испитују се законска решења, актуелна пракса поступања али и међусобни односи широког</w:t>
                  </w:r>
                  <w:r w:rsidR="006A5632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>спектра институција релевантних за борбу против корупције као што су: законодавна и извршна власт, судство,</w:t>
                  </w:r>
                  <w:r w:rsidR="00BE17A2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>тужилаштво, полиција, јавне службе, државни ревизор, омбудсман, специјализована антикорупцијска тела,</w:t>
                  </w:r>
                  <w:r w:rsidR="00BE17A2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>политичке странке, медији, цивилно друштво, приватни сектор итд. У оквиру истраживања институције и сектори се посматрају као „стубови“ тј. као носиоци борбе против</w:t>
                  </w:r>
                  <w:r w:rsidR="00BE17A2">
                    <w:rPr>
                      <w:sz w:val="22"/>
                      <w:szCs w:val="22"/>
                      <w:lang w:val="sr-Cyrl-CS"/>
                    </w:rPr>
                    <w:t xml:space="preserve"> к</w:t>
                  </w:r>
                  <w:r>
                    <w:rPr>
                      <w:sz w:val="22"/>
                      <w:szCs w:val="22"/>
                      <w:lang w:val="sr-Cyrl-CS"/>
                    </w:rPr>
                    <w:t xml:space="preserve">орупције, при чему се полази од претпоставке да слабост било којег од ових стубова слаби делотворност читавог систма. Осим што пружа снимак стања у времену у којем се спроводи истраживање, </w:t>
                  </w:r>
                  <w:r>
                    <w:rPr>
                      <w:sz w:val="22"/>
                      <w:szCs w:val="22"/>
                      <w:lang w:val="sr-Latn-CS"/>
                    </w:rPr>
                    <w:t xml:space="preserve">NIS </w:t>
                  </w:r>
                  <w:r>
                    <w:rPr>
                      <w:sz w:val="22"/>
                      <w:szCs w:val="22"/>
                      <w:lang w:val="sr-Cyrl-CS"/>
                    </w:rPr>
                    <w:t>треба да резултира и конкретним препорукама за јачање сваког од „стубова“ али и за измену стратешких антикорупцијских аката и прописа.</w:t>
                  </w:r>
                </w:p>
                <w:p w:rsidR="00BE17A2" w:rsidRDefault="00BE17A2" w:rsidP="006A5632">
                  <w:pPr>
                    <w:spacing w:line="360" w:lineRule="auto"/>
                    <w:ind w:right="-99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</w:p>
                <w:p w:rsidR="00DE7DB8" w:rsidRDefault="00DE7DB8" w:rsidP="006A5632">
                  <w:pPr>
                    <w:spacing w:line="360" w:lineRule="auto"/>
                    <w:ind w:right="-99"/>
                    <w:jc w:val="center"/>
                    <w:rPr>
                      <w:sz w:val="22"/>
                      <w:szCs w:val="22"/>
                      <w:lang w:val="sr-Latn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Друга компонента овог пројекта је мониторинг напретка у борби против корупције у Србији и припрема налаза</w:t>
                  </w:r>
                  <w:r>
                    <w:rPr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>и</w:t>
                  </w:r>
                </w:p>
                <w:p w:rsidR="00DE7DB8" w:rsidRPr="008A42CF" w:rsidRDefault="00DE7DB8" w:rsidP="006A5632">
                  <w:pPr>
                    <w:spacing w:line="360" w:lineRule="auto"/>
                    <w:ind w:right="-99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запажања који ће бити један од извора информација за годишњи извештај Европске комисије о напретку Србије.</w:t>
                  </w:r>
                </w:p>
                <w:p w:rsidR="00DE7DB8" w:rsidRPr="008A42CF" w:rsidRDefault="00DE7DB8" w:rsidP="006A5632">
                  <w:pPr>
                    <w:spacing w:line="360" w:lineRule="auto"/>
                    <w:ind w:right="-99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8A42CF" w:rsidRDefault="00DE7DB8" w:rsidP="006A5632">
                  <w:pPr>
                    <w:spacing w:line="360" w:lineRule="auto"/>
                    <w:ind w:right="-99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 xml:space="preserve">Пројекат ће трајати 12 месеци (јун 2010- јун 2011). Завршна анализа са налазима </w:t>
                  </w:r>
                  <w:r>
                    <w:rPr>
                      <w:sz w:val="22"/>
                      <w:szCs w:val="22"/>
                    </w:rPr>
                    <w:t>NIS</w:t>
                  </w:r>
                  <w:r>
                    <w:rPr>
                      <w:sz w:val="22"/>
                      <w:szCs w:val="22"/>
                      <w:lang w:val="sr-Cyrl-CS"/>
                    </w:rPr>
                    <w:t xml:space="preserve"> истраживања биће објав</w:t>
                  </w:r>
                  <w:r w:rsidR="005C013E">
                    <w:rPr>
                      <w:sz w:val="22"/>
                      <w:szCs w:val="22"/>
                      <w:lang w:val="sr-Cyrl-CS"/>
                    </w:rPr>
                    <w:t>-</w:t>
                  </w:r>
                  <w:r>
                    <w:rPr>
                      <w:sz w:val="22"/>
                      <w:szCs w:val="22"/>
                      <w:lang w:val="sr-Cyrl-CS"/>
                    </w:rPr>
                    <w:t>ље</w:t>
                  </w:r>
                  <w:r>
                    <w:rPr>
                      <w:sz w:val="22"/>
                      <w:szCs w:val="22"/>
                      <w:lang w:val="sr-Latn-CS"/>
                    </w:rPr>
                    <w:t>н</w:t>
                  </w:r>
                  <w:r>
                    <w:rPr>
                      <w:sz w:val="22"/>
                      <w:szCs w:val="22"/>
                      <w:lang w:val="sr-Cyrl-CS"/>
                    </w:rPr>
                    <w:t>и</w:t>
                  </w:r>
                  <w:r w:rsidR="006A5632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>у</w:t>
                  </w:r>
                  <w:r w:rsidR="002E4BE3">
                    <w:rPr>
                      <w:sz w:val="22"/>
                      <w:szCs w:val="22"/>
                      <w:lang w:val="sr-Cyrl-CS"/>
                    </w:rPr>
                    <w:t xml:space="preserve"> пос</w:t>
                  </w:r>
                  <w:r>
                    <w:rPr>
                      <w:sz w:val="22"/>
                      <w:szCs w:val="22"/>
                      <w:lang w:val="sr-Cyrl-CS"/>
                    </w:rPr>
                    <w:t>ебној публикацији</w:t>
                  </w:r>
                  <w:r w:rsidRPr="00CF32D4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sr-Cyrl-CS"/>
                    </w:rPr>
                    <w:t xml:space="preserve">на српском и енглеском језику. </w:t>
                  </w:r>
                  <w:r w:rsidR="00BE17A2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</w:p>
                <w:p w:rsidR="008A42CF" w:rsidRDefault="008A42CF" w:rsidP="006A5632">
                  <w:pPr>
                    <w:ind w:right="-99"/>
                    <w:jc w:val="center"/>
                    <w:rPr>
                      <w:i/>
                      <w:sz w:val="22"/>
                      <w:szCs w:val="22"/>
                      <w:lang w:val="sr-Cyrl-CS"/>
                    </w:rPr>
                  </w:pPr>
                </w:p>
                <w:p w:rsidR="009C55D2" w:rsidRPr="008A42CF" w:rsidRDefault="009C55D2" w:rsidP="006A5632">
                  <w:pPr>
                    <w:pStyle w:val="Texte"/>
                    <w:jc w:val="center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F0167" w:rsidRPr="000F0167" w:rsidRDefault="000F0167" w:rsidP="000F0167"/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0F0167" w:rsidRPr="00C91B82" w:rsidRDefault="000F0167" w:rsidP="000F0167">
      <w:pPr>
        <w:rPr>
          <w:lang w:val="ru-RU"/>
        </w:rPr>
      </w:pPr>
    </w:p>
    <w:p w:rsidR="009C55D2" w:rsidRPr="000F0167" w:rsidRDefault="000F0167" w:rsidP="000F0167">
      <w:pPr>
        <w:tabs>
          <w:tab w:val="left" w:pos="2010"/>
        </w:tabs>
        <w:rPr>
          <w:lang w:val="sr-Cyrl-CS"/>
        </w:rPr>
      </w:pPr>
      <w:r>
        <w:rPr>
          <w:szCs w:val="20"/>
          <w:lang w:val="en-US" w:eastAsia="en-US"/>
        </w:rPr>
        <w:pict>
          <v:shape id="_x0000_s1032" type="#_x0000_t202" style="position:absolute;margin-left:145.05pt;margin-top:40.6pt;width:238.5pt;height:110.25pt;z-index:251659264" filled="f" stroked="f">
            <v:textbox style="mso-next-textbox:#_x0000_s1032" inset="0,0,0,0">
              <w:txbxContent>
                <w:p w:rsidR="009C55D2" w:rsidRPr="000F0167" w:rsidRDefault="000F0167">
                  <w:pPr>
                    <w:rPr>
                      <w:rFonts w:ascii="Helvetica" w:hAnsi="Helvetica"/>
                      <w:sz w:val="14"/>
                      <w:lang w:val="sr-Cyrl-CS"/>
                    </w:rPr>
                  </w:pPr>
                  <w:r>
                    <w:rPr>
                      <w:rFonts w:ascii="Helvetica" w:hAnsi="Helvetica"/>
                      <w:sz w:val="14"/>
                      <w:lang w:val="sr-Cyrl-CS"/>
                    </w:rPr>
                    <w:t>Пројекат је подржала Европска унија</w:t>
                  </w:r>
                </w:p>
                <w:p w:rsidR="000F0167" w:rsidRPr="000F0167" w:rsidRDefault="000F0167">
                  <w:pPr>
                    <w:rPr>
                      <w:rFonts w:ascii="Helvetica" w:hAnsi="Helvetica"/>
                      <w:sz w:val="14"/>
                      <w:lang w:val="sr-Cyrl-CS"/>
                    </w:rPr>
                  </w:pPr>
                </w:p>
                <w:p w:rsidR="000F0167" w:rsidRDefault="000F0167">
                  <w:pPr>
                    <w:rPr>
                      <w:rStyle w:val="yshortcuts"/>
                      <w:sz w:val="16"/>
                      <w:szCs w:val="16"/>
                      <w:lang w:val="sr-Cyrl-CS"/>
                    </w:rPr>
                  </w:pPr>
                  <w:r w:rsidRPr="000F0167">
                    <w:rPr>
                      <w:rStyle w:val="yshortcuts"/>
                      <w:sz w:val="16"/>
                      <w:szCs w:val="16"/>
                    </w:rPr>
                    <w:t>DELEGACIJA EVROPSKE UNIJE U REPUBLICI SRBIJI</w:t>
                  </w:r>
                </w:p>
                <w:p w:rsidR="000F0167" w:rsidRPr="000F0167" w:rsidRDefault="000F0167" w:rsidP="000F0167">
                  <w:pPr>
                    <w:spacing w:before="120"/>
                    <w:rPr>
                      <w:sz w:val="16"/>
                      <w:szCs w:val="16"/>
                      <w:lang w:val="sr-Cyrl-CS"/>
                    </w:rPr>
                  </w:pPr>
                  <w:r w:rsidRPr="000F0167">
                    <w:rPr>
                      <w:sz w:val="16"/>
                      <w:szCs w:val="16"/>
                    </w:rPr>
                    <w:t>PROJEKAT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“</w:t>
                  </w:r>
                  <w:r w:rsidRPr="000F0167">
                    <w:rPr>
                      <w:sz w:val="16"/>
                      <w:szCs w:val="16"/>
                    </w:rPr>
                    <w:t>JA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>Č</w:t>
                  </w:r>
                  <w:r w:rsidRPr="000F0167">
                    <w:rPr>
                      <w:sz w:val="16"/>
                      <w:szCs w:val="16"/>
                    </w:rPr>
                    <w:t>ANJE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DIJALOGA</w:t>
                  </w:r>
                  <w:r w:rsidRPr="000F0167">
                    <w:rPr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IZME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>Đ</w:t>
                  </w:r>
                  <w:r w:rsidRPr="000F0167">
                    <w:rPr>
                      <w:sz w:val="16"/>
                      <w:szCs w:val="16"/>
                    </w:rPr>
                    <w:t>U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ORGANIZACIJA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CIVILNOG</w:t>
                  </w:r>
                  <w:r w:rsidRPr="000F0167">
                    <w:rPr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DRU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>Š</w:t>
                  </w:r>
                  <w:r w:rsidRPr="000F0167">
                    <w:rPr>
                      <w:sz w:val="16"/>
                      <w:szCs w:val="16"/>
                    </w:rPr>
                    <w:t>TVA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SRBIJE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I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F0167">
                    <w:rPr>
                      <w:sz w:val="16"/>
                      <w:szCs w:val="16"/>
                    </w:rPr>
                    <w:t>EU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>“</w:t>
                  </w:r>
                </w:p>
                <w:p w:rsidR="00570FA0" w:rsidRDefault="00570FA0" w:rsidP="000F0167">
                  <w:pPr>
                    <w:spacing w:after="60"/>
                    <w:rPr>
                      <w:sz w:val="16"/>
                      <w:szCs w:val="16"/>
                      <w:lang w:val="sr-Cyrl-CS"/>
                    </w:rPr>
                  </w:pPr>
                </w:p>
                <w:p w:rsidR="000F0167" w:rsidRPr="000F0167" w:rsidRDefault="000F0167" w:rsidP="000F0167">
                  <w:pPr>
                    <w:spacing w:after="60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Владимира Поповића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t xml:space="preserve"> 40 </w:t>
                  </w:r>
                  <w:r w:rsidRPr="000F0167">
                    <w:rPr>
                      <w:sz w:val="16"/>
                      <w:szCs w:val="16"/>
                      <w:lang w:val="sr-Cyrl-CS"/>
                    </w:rPr>
                    <w:br/>
                    <w:t xml:space="preserve">11070 </w:t>
                  </w:r>
                  <w:r>
                    <w:rPr>
                      <w:sz w:val="16"/>
                      <w:szCs w:val="16"/>
                      <w:lang w:val="sr-Cyrl-CS"/>
                    </w:rPr>
                    <w:t xml:space="preserve">Београд Република Србија </w:t>
                  </w:r>
                </w:p>
                <w:p w:rsidR="000F0167" w:rsidRPr="000F0167" w:rsidRDefault="000F0167" w:rsidP="000F0167">
                  <w:pPr>
                    <w:spacing w:after="6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</w:rPr>
                    <w:t>Te</w:t>
                  </w:r>
                  <w:r>
                    <w:rPr>
                      <w:sz w:val="16"/>
                      <w:szCs w:val="16"/>
                      <w:lang w:val="sr-Cyrl-CS"/>
                    </w:rPr>
                    <w:t>л</w:t>
                  </w:r>
                  <w:r w:rsidRPr="000F0167">
                    <w:rPr>
                      <w:sz w:val="16"/>
                      <w:szCs w:val="16"/>
                      <w:lang w:val="ru-RU"/>
                    </w:rPr>
                    <w:t>:</w:t>
                  </w:r>
                  <w:r w:rsidRPr="000F0167">
                    <w:rPr>
                      <w:sz w:val="16"/>
                      <w:szCs w:val="16"/>
                    </w:rPr>
                    <w:t>   </w:t>
                  </w:r>
                  <w:r w:rsidRPr="000F0167">
                    <w:rPr>
                      <w:sz w:val="16"/>
                      <w:szCs w:val="16"/>
                      <w:lang w:val="ru-RU"/>
                    </w:rPr>
                    <w:t xml:space="preserve"> +381 11 3083200</w:t>
                  </w:r>
                  <w:r w:rsidRPr="000F0167">
                    <w:rPr>
                      <w:sz w:val="16"/>
                      <w:szCs w:val="16"/>
                      <w:lang w:val="ru-RU"/>
                    </w:rPr>
                    <w:br/>
                  </w:r>
                  <w:r>
                    <w:rPr>
                      <w:sz w:val="16"/>
                      <w:szCs w:val="16"/>
                      <w:lang w:val="ru-RU"/>
                    </w:rPr>
                    <w:t>Факс</w:t>
                  </w:r>
                  <w:r w:rsidRPr="000F0167">
                    <w:rPr>
                      <w:sz w:val="16"/>
                      <w:szCs w:val="16"/>
                      <w:lang w:val="ru-RU"/>
                    </w:rPr>
                    <w:t>:</w:t>
                  </w:r>
                  <w:r w:rsidRPr="000F0167">
                    <w:rPr>
                      <w:sz w:val="16"/>
                      <w:szCs w:val="16"/>
                    </w:rPr>
                    <w:t>   </w:t>
                  </w:r>
                  <w:r w:rsidRPr="000F0167">
                    <w:rPr>
                      <w:sz w:val="16"/>
                      <w:szCs w:val="16"/>
                      <w:lang w:val="ru-RU"/>
                    </w:rPr>
                    <w:t xml:space="preserve"> +381 11 3083201</w:t>
                  </w:r>
                </w:p>
                <w:p w:rsidR="009C55D2" w:rsidRPr="000F0167" w:rsidRDefault="009C55D2" w:rsidP="000F016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shape id="_x0000_s1033" type="#_x0000_t202" style="position:absolute;margin-left:33.3pt;margin-top:36.1pt;width:101.25pt;height:109.5pt;z-index:251660288" filled="f" stroked="f">
            <v:textbox style="mso-next-textbox:#_x0000_s1033" inset="0,0,0,0">
              <w:txbxContent>
                <w:p w:rsidR="009C55D2" w:rsidRPr="00570FA0" w:rsidRDefault="00701E8E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570FA0">
                    <w:rPr>
                      <w:sz w:val="18"/>
                      <w:szCs w:val="18"/>
                      <w:lang w:val="sr-Cyrl-CS"/>
                    </w:rPr>
                    <w:t>Пр</w:t>
                  </w:r>
                  <w:r w:rsidR="000F0167" w:rsidRPr="00570FA0">
                    <w:rPr>
                      <w:sz w:val="18"/>
                      <w:szCs w:val="18"/>
                      <w:lang w:val="sr-Cyrl-CS"/>
                    </w:rPr>
                    <w:t xml:space="preserve">ојекат спроводи </w:t>
                  </w:r>
                </w:p>
                <w:p w:rsidR="000F0167" w:rsidRPr="00570FA0" w:rsidRDefault="000F0167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570FA0">
                    <w:rPr>
                      <w:sz w:val="18"/>
                      <w:szCs w:val="18"/>
                      <w:lang w:val="sr-Cyrl-CS"/>
                    </w:rPr>
                    <w:t xml:space="preserve">Транспарентност Србија </w:t>
                  </w:r>
                </w:p>
                <w:p w:rsidR="009C55D2" w:rsidRPr="00570FA0" w:rsidRDefault="009C55D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  <w:p w:rsidR="009C55D2" w:rsidRPr="00570FA0" w:rsidRDefault="000F0167">
                  <w:pPr>
                    <w:rPr>
                      <w:sz w:val="18"/>
                      <w:szCs w:val="18"/>
                      <w:lang w:val="sr-Latn-CS"/>
                    </w:rPr>
                  </w:pPr>
                  <w:r w:rsidRPr="00570FA0">
                    <w:rPr>
                      <w:sz w:val="18"/>
                      <w:szCs w:val="18"/>
                    </w:rPr>
                    <w:t>A</w:t>
                  </w:r>
                  <w:r w:rsidRPr="00570FA0">
                    <w:rPr>
                      <w:sz w:val="18"/>
                      <w:szCs w:val="18"/>
                      <w:lang w:val="sr-Cyrl-CS"/>
                    </w:rPr>
                    <w:t>дреса: Бул. Деспота Стефана 36/</w:t>
                  </w:r>
                  <w:r w:rsidRPr="00570FA0">
                    <w:rPr>
                      <w:sz w:val="18"/>
                      <w:szCs w:val="18"/>
                      <w:lang w:val="sr-Latn-CS"/>
                    </w:rPr>
                    <w:t>I</w:t>
                  </w:r>
                </w:p>
                <w:p w:rsidR="009C55D2" w:rsidRPr="00570FA0" w:rsidRDefault="000F016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70FA0">
                    <w:rPr>
                      <w:sz w:val="18"/>
                      <w:szCs w:val="18"/>
                    </w:rPr>
                    <w:t>Te</w:t>
                  </w:r>
                  <w:r w:rsidRPr="00570FA0">
                    <w:rPr>
                      <w:sz w:val="18"/>
                      <w:szCs w:val="18"/>
                      <w:lang w:val="sr-Cyrl-CS"/>
                    </w:rPr>
                    <w:t>л; +381 11 303 38 27</w:t>
                  </w:r>
                </w:p>
                <w:p w:rsidR="009C55D2" w:rsidRPr="00570FA0" w:rsidRDefault="000F0167">
                  <w:pPr>
                    <w:rPr>
                      <w:sz w:val="18"/>
                      <w:szCs w:val="18"/>
                      <w:lang w:val="ru-RU"/>
                    </w:rPr>
                  </w:pPr>
                  <w:r w:rsidRPr="00570FA0">
                    <w:rPr>
                      <w:sz w:val="18"/>
                      <w:szCs w:val="18"/>
                      <w:lang w:val="sr-Cyrl-CS"/>
                    </w:rPr>
                    <w:t>Ф</w:t>
                  </w:r>
                  <w:r w:rsidRPr="00570FA0">
                    <w:rPr>
                      <w:sz w:val="18"/>
                      <w:szCs w:val="18"/>
                    </w:rPr>
                    <w:t>a</w:t>
                  </w:r>
                  <w:r w:rsidRPr="00570FA0">
                    <w:rPr>
                      <w:sz w:val="18"/>
                      <w:szCs w:val="18"/>
                      <w:lang w:val="sr-Cyrl-CS"/>
                    </w:rPr>
                    <w:t>кс; +381 11 322 81 96</w:t>
                  </w:r>
                </w:p>
              </w:txbxContent>
            </v:textbox>
          </v:shape>
        </w:pict>
      </w:r>
      <w:r w:rsidRPr="00C91B82">
        <w:rPr>
          <w:lang w:val="ru-RU"/>
        </w:rPr>
        <w:tab/>
      </w:r>
      <w:r>
        <w:rPr>
          <w:lang w:val="sr-Cyrl-CS"/>
        </w:rPr>
        <w:t xml:space="preserve">              </w:t>
      </w:r>
      <w:r w:rsidR="00570FA0">
        <w:rPr>
          <w:lang w:val="sr-Cyrl-CS"/>
        </w:rPr>
        <w:t xml:space="preserve">    </w:t>
      </w:r>
      <w:r>
        <w:rPr>
          <w:lang w:val="sr-Cyrl-CS"/>
        </w:rPr>
        <w:t xml:space="preserve">       </w:t>
      </w:r>
    </w:p>
    <w:sectPr w:rsidR="009C55D2" w:rsidRPr="000F0167" w:rsidSect="009C55D2"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481F"/>
    <w:rsid w:val="00052D0E"/>
    <w:rsid w:val="000F0167"/>
    <w:rsid w:val="001F0614"/>
    <w:rsid w:val="002E4BE3"/>
    <w:rsid w:val="00494B7E"/>
    <w:rsid w:val="00570FA0"/>
    <w:rsid w:val="005C013E"/>
    <w:rsid w:val="006A5632"/>
    <w:rsid w:val="00701E8E"/>
    <w:rsid w:val="008A42CF"/>
    <w:rsid w:val="00992A62"/>
    <w:rsid w:val="009C4A96"/>
    <w:rsid w:val="009C55D2"/>
    <w:rsid w:val="00B80284"/>
    <w:rsid w:val="00BE17A2"/>
    <w:rsid w:val="00C91B82"/>
    <w:rsid w:val="00D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character" w:customStyle="1" w:styleId="yshortcuts">
    <w:name w:val="yshortcuts"/>
    <w:basedOn w:val="DefaultParagraphFont"/>
    <w:rsid w:val="000F0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TS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Frédéric Hayot</dc:creator>
  <cp:keywords/>
  <cp:lastModifiedBy>x4</cp:lastModifiedBy>
  <cp:revision>2</cp:revision>
  <dcterms:created xsi:type="dcterms:W3CDTF">2012-02-02T15:00:00Z</dcterms:created>
  <dcterms:modified xsi:type="dcterms:W3CDTF">2012-02-02T15:00:00Z</dcterms:modified>
</cp:coreProperties>
</file>